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ED4F7F" w:rsidRDefault="00A06425" w:rsidP="00ED4F7F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ED4F7F" w:rsidRPr="00ED4F7F" w:rsidRDefault="00ED4F7F" w:rsidP="00B871B6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ED4F7F">
              <w:rPr>
                <w:rFonts w:asciiTheme="minorHAnsi" w:hAnsiTheme="minorHAnsi" w:cstheme="minorHAnsi"/>
                <w:i/>
                <w:sz w:val="22"/>
                <w:szCs w:val="22"/>
              </w:rPr>
              <w:t>r</w:t>
            </w:r>
            <w:r w:rsidRPr="00ED4F7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aport z postępu rzeczowo-finansowego projektu informatycznego </w:t>
            </w:r>
            <w:r w:rsidRPr="00ED4F7F">
              <w:rPr>
                <w:rFonts w:asciiTheme="minorHAnsi" w:hAnsiTheme="minorHAnsi" w:cstheme="minorHAnsi"/>
                <w:i/>
                <w:sz w:val="22"/>
                <w:szCs w:val="22"/>
              </w:rPr>
              <w:t>z</w:t>
            </w:r>
            <w:r w:rsidRPr="00ED4F7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a I kwartał 2023 r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. </w:t>
            </w:r>
            <w:r w:rsidRPr="00ED4F7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Budowa nowoczesnej platformy gromadzenia i analizy danych z Krajowego Rejestru Nowotworów oraz onkologicznych rejestrów narządowych, zintegrowanej z bazami świadczeniodawców leczących choroby onkologiczne (e-KRN+)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ED4F7F" w:rsidRDefault="00ED4F7F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4F7F">
              <w:rPr>
                <w:rFonts w:asciiTheme="minorHAnsi" w:hAnsiTheme="minorHAnsi" w:cstheme="minorHAnsi"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Default="00ED4F7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4F7F">
              <w:rPr>
                <w:rFonts w:asciiTheme="minorHAnsi" w:hAnsiTheme="minorHAnsi" w:cstheme="minorHAnsi"/>
                <w:sz w:val="22"/>
                <w:szCs w:val="22"/>
              </w:rPr>
              <w:t>część 5. Produkty końcowe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ED4F7F" w:rsidRDefault="00ED4F7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wiersz pierwszy,</w:t>
            </w:r>
          </w:p>
          <w:p w:rsidR="00ED4F7F" w:rsidRDefault="00ED4F7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kolumna </w:t>
            </w:r>
            <w:r w:rsidR="00137B07">
              <w:rPr>
                <w:rFonts w:asciiTheme="minorHAnsi" w:hAnsiTheme="minorHAnsi" w:cstheme="minorHAnsi"/>
                <w:sz w:val="22"/>
                <w:szCs w:val="22"/>
              </w:rPr>
              <w:t>czwarta,</w:t>
            </w:r>
          </w:p>
          <w:p w:rsidR="00137B07" w:rsidRDefault="00C16CA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3 dotyczący r</w:t>
            </w:r>
            <w:r w:rsidR="00137B07">
              <w:rPr>
                <w:rFonts w:asciiTheme="minorHAnsi" w:hAnsiTheme="minorHAnsi" w:cstheme="minorHAnsi"/>
                <w:sz w:val="22"/>
                <w:szCs w:val="22"/>
              </w:rPr>
              <w:t>ejestru PESEL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C16CAF" w:rsidRPr="00ED4F7F" w:rsidRDefault="00C16CA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lit. b</w:t>
            </w:r>
          </w:p>
        </w:tc>
        <w:tc>
          <w:tcPr>
            <w:tcW w:w="4678" w:type="dxa"/>
            <w:shd w:val="clear" w:color="auto" w:fill="auto"/>
          </w:tcPr>
          <w:p w:rsidR="00C16CAF" w:rsidRPr="00C16CAF" w:rsidRDefault="00C16CAF" w:rsidP="00C16C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C16CAF">
              <w:rPr>
                <w:rFonts w:asciiTheme="minorHAnsi" w:hAnsiTheme="minorHAnsi" w:cstheme="minorHAnsi"/>
                <w:sz w:val="22"/>
                <w:szCs w:val="22"/>
              </w:rPr>
              <w:t>skazano cyt.: „</w:t>
            </w:r>
            <w:r w:rsidRPr="00C16CAF">
              <w:rPr>
                <w:rFonts w:asciiTheme="minorHAnsi" w:hAnsiTheme="minorHAnsi" w:cstheme="minorHAnsi"/>
                <w:i/>
                <w:sz w:val="22"/>
                <w:szCs w:val="22"/>
              </w:rPr>
              <w:t>Status integracji: wdrażany (Wdrożony mechanizm integracji. Oczekiwanie na zgodę z </w:t>
            </w:r>
            <w:bookmarkStart w:id="0" w:name="_GoBack"/>
            <w:r w:rsidRPr="00C16CAF">
              <w:rPr>
                <w:rFonts w:asciiTheme="minorHAnsi" w:hAnsiTheme="minorHAnsi" w:cstheme="minorHAnsi"/>
                <w:i/>
                <w:sz w:val="22"/>
                <w:szCs w:val="22"/>
              </w:rPr>
              <w:t>MSWiA</w:t>
            </w:r>
            <w:bookmarkEnd w:id="0"/>
            <w:r w:rsidRPr="00C16CA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od maja 2022r.)”</w:t>
            </w:r>
            <w:r w:rsidRPr="00C16CAF">
              <w:rPr>
                <w:rFonts w:asciiTheme="minorHAnsi" w:hAnsiTheme="minorHAnsi" w:cstheme="minorHAnsi"/>
                <w:sz w:val="22"/>
                <w:szCs w:val="22"/>
              </w:rPr>
              <w:t xml:space="preserve">, podczas gdy minister właściwy do spraw wewnętrznych sprawuje jedynie nadzór merytoryczny nad sprawami z zakresu ewidencji ludności, natomiast zgodnie </w:t>
            </w:r>
            <w:r w:rsidRPr="00C16CAF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art. 6 ust. 2 ustawy z dnia 24 września 2010 r. </w:t>
            </w:r>
            <w:r w:rsidRPr="00C16CAF">
              <w:rPr>
                <w:rFonts w:asciiTheme="minorHAnsi" w:hAnsiTheme="minorHAnsi" w:cstheme="minorHAnsi"/>
                <w:i/>
                <w:sz w:val="22"/>
                <w:szCs w:val="22"/>
              </w:rPr>
              <w:t>o ewidencji ludności</w:t>
            </w:r>
            <w:r w:rsidRPr="00C16C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16CAF">
              <w:rPr>
                <w:rFonts w:asciiTheme="minorHAnsi" w:hAnsiTheme="minorHAnsi" w:cstheme="minorHAnsi"/>
                <w:sz w:val="22"/>
                <w:szCs w:val="22"/>
              </w:rPr>
              <w:br/>
              <w:t>(Dz. U. z 2022 r.  poz. 1191, z </w:t>
            </w:r>
            <w:proofErr w:type="spellStart"/>
            <w:r w:rsidRPr="00C16CAF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C16CAF">
              <w:rPr>
                <w:rFonts w:asciiTheme="minorHAnsi" w:hAnsiTheme="minorHAnsi" w:cstheme="minorHAnsi"/>
                <w:sz w:val="22"/>
                <w:szCs w:val="22"/>
              </w:rPr>
              <w:t xml:space="preserve">. zm.), utrzymanie i rozwój rejestru PESEL zapewnia minister właściwy do spraw informatyzacji. 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510BD0" w:rsidP="00510B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Wskazanie zatem</w:t>
            </w:r>
            <w:r w:rsidRPr="00C16CAF">
              <w:rPr>
                <w:rFonts w:asciiTheme="minorHAnsi" w:hAnsiTheme="minorHAnsi" w:cstheme="minorHAnsi"/>
                <w:sz w:val="22"/>
                <w:szCs w:val="22"/>
              </w:rPr>
              <w:t xml:space="preserve"> MSWiA w powyższym zakresie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wydaje się </w:t>
            </w:r>
            <w:r w:rsidRPr="00C16CAF">
              <w:rPr>
                <w:rFonts w:asciiTheme="minorHAnsi" w:hAnsiTheme="minorHAnsi" w:cstheme="minorHAnsi"/>
                <w:sz w:val="22"/>
                <w:szCs w:val="22"/>
              </w:rPr>
              <w:t>prawidłowe.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37B07"/>
    <w:rsid w:val="00140BE8"/>
    <w:rsid w:val="0019648E"/>
    <w:rsid w:val="002715B2"/>
    <w:rsid w:val="003124D1"/>
    <w:rsid w:val="003B4105"/>
    <w:rsid w:val="004D086F"/>
    <w:rsid w:val="00510BD0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C16CAF"/>
    <w:rsid w:val="00C64B1B"/>
    <w:rsid w:val="00CD5EB0"/>
    <w:rsid w:val="00E14C33"/>
    <w:rsid w:val="00ED4F7F"/>
    <w:rsid w:val="00F5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965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2023-08-25T13:52:00Z</dcterms:created>
  <dcterms:modified xsi:type="dcterms:W3CDTF">2023-08-25T13:52:00Z</dcterms:modified>
</cp:coreProperties>
</file>